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000B7" w14:textId="77777777" w:rsidR="008D3C0F" w:rsidRPr="00B52A61" w:rsidRDefault="008D3C0F" w:rsidP="006E4535">
      <w:pPr>
        <w:spacing w:line="480" w:lineRule="auto"/>
      </w:pPr>
    </w:p>
    <w:p w14:paraId="6998475E" w14:textId="77777777" w:rsidR="008D3C0F" w:rsidRPr="00B52A61" w:rsidRDefault="008D3C0F" w:rsidP="006E4535">
      <w:pPr>
        <w:spacing w:line="480" w:lineRule="auto"/>
      </w:pPr>
    </w:p>
    <w:p w14:paraId="11F6C7A7" w14:textId="77777777" w:rsidR="008D3C0F" w:rsidRPr="00B52A61" w:rsidRDefault="008D3C0F" w:rsidP="006E4535">
      <w:pPr>
        <w:spacing w:line="480" w:lineRule="auto"/>
      </w:pPr>
    </w:p>
    <w:p w14:paraId="435617BA" w14:textId="77777777" w:rsidR="008D3C0F" w:rsidRPr="00B52A61" w:rsidRDefault="008D3C0F" w:rsidP="006E4535">
      <w:pPr>
        <w:spacing w:line="480" w:lineRule="auto"/>
      </w:pPr>
    </w:p>
    <w:p w14:paraId="58D90E0A" w14:textId="77777777" w:rsidR="008D3C0F" w:rsidRPr="00B52A61" w:rsidRDefault="008D3C0F" w:rsidP="006E4535">
      <w:pPr>
        <w:spacing w:line="480" w:lineRule="auto"/>
      </w:pPr>
    </w:p>
    <w:p w14:paraId="19FC7CD0" w14:textId="77777777" w:rsidR="008D3C0F" w:rsidRPr="00B52A61" w:rsidRDefault="008D3C0F" w:rsidP="006E4535">
      <w:pPr>
        <w:spacing w:line="480" w:lineRule="auto"/>
      </w:pPr>
    </w:p>
    <w:p w14:paraId="064CEF9D" w14:textId="77777777" w:rsidR="008D3C0F" w:rsidRPr="00B52A61" w:rsidRDefault="008D3C0F" w:rsidP="006E4535">
      <w:pPr>
        <w:spacing w:line="480" w:lineRule="auto"/>
      </w:pPr>
    </w:p>
    <w:p w14:paraId="5091086A" w14:textId="77777777" w:rsidR="00945310" w:rsidRDefault="00945310" w:rsidP="006E4535">
      <w:pPr>
        <w:spacing w:line="480" w:lineRule="auto"/>
        <w:jc w:val="center"/>
      </w:pPr>
    </w:p>
    <w:p w14:paraId="66FCB50E" w14:textId="77777777" w:rsidR="00945310" w:rsidRDefault="00945310" w:rsidP="006E4535">
      <w:pPr>
        <w:spacing w:line="480" w:lineRule="auto"/>
        <w:jc w:val="center"/>
      </w:pPr>
    </w:p>
    <w:p w14:paraId="07BABF2B" w14:textId="77777777" w:rsidR="00945310" w:rsidRDefault="00945310" w:rsidP="006E4535">
      <w:pPr>
        <w:spacing w:line="480" w:lineRule="auto"/>
        <w:jc w:val="center"/>
      </w:pPr>
    </w:p>
    <w:p w14:paraId="2244895F" w14:textId="05686778" w:rsidR="008D3C0F" w:rsidRDefault="008D3C0F" w:rsidP="006E4535">
      <w:pPr>
        <w:spacing w:line="480" w:lineRule="auto"/>
        <w:jc w:val="center"/>
        <w:rPr>
          <w:b/>
        </w:rPr>
      </w:pPr>
      <w:r w:rsidRPr="00BF0C9F">
        <w:rPr>
          <w:b/>
        </w:rPr>
        <w:t>Title</w:t>
      </w:r>
      <w:r w:rsidR="009912C1">
        <w:rPr>
          <w:b/>
        </w:rPr>
        <w:t xml:space="preserve"> of Paper</w:t>
      </w:r>
    </w:p>
    <w:p w14:paraId="3A56D68E" w14:textId="77777777" w:rsidR="00BF0C9F" w:rsidRPr="00BF0C9F" w:rsidRDefault="00BF0C9F" w:rsidP="006E4535">
      <w:pPr>
        <w:spacing w:line="480" w:lineRule="auto"/>
        <w:jc w:val="center"/>
        <w:rPr>
          <w:b/>
        </w:rPr>
      </w:pPr>
    </w:p>
    <w:p w14:paraId="3071E5A5" w14:textId="77777777" w:rsidR="008D3C0F" w:rsidRPr="00B52A61" w:rsidRDefault="00BF0C9F" w:rsidP="006E4535">
      <w:pPr>
        <w:spacing w:line="480" w:lineRule="auto"/>
        <w:jc w:val="center"/>
      </w:pPr>
      <w:proofErr w:type="gramStart"/>
      <w:r>
        <w:t>Your</w:t>
      </w:r>
      <w:proofErr w:type="gramEnd"/>
      <w:r>
        <w:t xml:space="preserve"> Name</w:t>
      </w:r>
    </w:p>
    <w:p w14:paraId="1C83BF8A" w14:textId="77777777" w:rsidR="008D3C0F" w:rsidRDefault="00BF0C9F" w:rsidP="006E4535">
      <w:pPr>
        <w:spacing w:line="480" w:lineRule="auto"/>
        <w:jc w:val="center"/>
      </w:pPr>
      <w:r>
        <w:t>American InterContinental University</w:t>
      </w:r>
    </w:p>
    <w:p w14:paraId="0557C763" w14:textId="77777777" w:rsidR="00BF0C9F" w:rsidRDefault="00BF0C9F" w:rsidP="006E4535">
      <w:pPr>
        <w:spacing w:line="480" w:lineRule="auto"/>
        <w:jc w:val="center"/>
      </w:pPr>
      <w:r>
        <w:t>Submission Date</w:t>
      </w:r>
    </w:p>
    <w:p w14:paraId="1388C190" w14:textId="77777777" w:rsidR="008D3C0F" w:rsidRPr="00B52A61" w:rsidRDefault="008D3C0F" w:rsidP="006E4535">
      <w:pPr>
        <w:spacing w:line="480" w:lineRule="auto"/>
        <w:jc w:val="center"/>
      </w:pPr>
    </w:p>
    <w:p w14:paraId="00766551" w14:textId="77777777" w:rsidR="008D3C0F" w:rsidRPr="00B52A61" w:rsidRDefault="008D3C0F" w:rsidP="006E4535">
      <w:pPr>
        <w:spacing w:line="480" w:lineRule="auto"/>
        <w:jc w:val="center"/>
      </w:pPr>
    </w:p>
    <w:p w14:paraId="59198A26" w14:textId="77777777" w:rsidR="008D3C0F" w:rsidRPr="00B52A61" w:rsidRDefault="008D3C0F" w:rsidP="006E4535">
      <w:pPr>
        <w:spacing w:line="480" w:lineRule="auto"/>
        <w:jc w:val="center"/>
      </w:pPr>
    </w:p>
    <w:p w14:paraId="43D5B6B6" w14:textId="77777777" w:rsidR="008D3C0F" w:rsidRPr="00B52A61" w:rsidRDefault="008D3C0F" w:rsidP="006E4535">
      <w:pPr>
        <w:spacing w:line="480" w:lineRule="auto"/>
        <w:jc w:val="center"/>
      </w:pPr>
    </w:p>
    <w:p w14:paraId="78CF406D" w14:textId="77777777" w:rsidR="008D3C0F" w:rsidRPr="00B52A61" w:rsidRDefault="008D3C0F" w:rsidP="006E4535">
      <w:pPr>
        <w:spacing w:line="480" w:lineRule="auto"/>
        <w:jc w:val="center"/>
      </w:pPr>
    </w:p>
    <w:p w14:paraId="41E78D69" w14:textId="77777777" w:rsidR="008D3C0F" w:rsidRPr="00B52A61" w:rsidRDefault="008D3C0F" w:rsidP="006E4535">
      <w:pPr>
        <w:spacing w:line="480" w:lineRule="auto"/>
        <w:jc w:val="center"/>
      </w:pPr>
    </w:p>
    <w:p w14:paraId="6B28B9B4" w14:textId="77777777" w:rsidR="008D3C0F" w:rsidRPr="00B52A61" w:rsidRDefault="008D3C0F" w:rsidP="006E4535">
      <w:pPr>
        <w:spacing w:line="480" w:lineRule="auto"/>
        <w:jc w:val="center"/>
      </w:pPr>
    </w:p>
    <w:p w14:paraId="14690FF3" w14:textId="77777777" w:rsidR="008D3C0F" w:rsidRDefault="008D3C0F" w:rsidP="006E4535">
      <w:pPr>
        <w:spacing w:line="480" w:lineRule="auto"/>
        <w:jc w:val="center"/>
      </w:pPr>
    </w:p>
    <w:p w14:paraId="1D95A3F0" w14:textId="77777777" w:rsidR="009E6743" w:rsidRPr="00741D69" w:rsidRDefault="00C804DB" w:rsidP="006E4535">
      <w:pPr>
        <w:spacing w:line="480" w:lineRule="auto"/>
        <w:jc w:val="center"/>
        <w:rPr>
          <w:b/>
        </w:rPr>
      </w:pPr>
      <w:r>
        <w:br w:type="page"/>
      </w:r>
      <w:r w:rsidR="009E6743" w:rsidRPr="00741D69">
        <w:rPr>
          <w:b/>
        </w:rPr>
        <w:lastRenderedPageBreak/>
        <w:t>Title of Paper</w:t>
      </w:r>
    </w:p>
    <w:p w14:paraId="4FDFC2C6" w14:textId="4BCB5941" w:rsidR="004A518B" w:rsidRPr="00081D43" w:rsidRDefault="009E6743" w:rsidP="004A518B">
      <w:pPr>
        <w:pStyle w:val="NormalWeb"/>
        <w:spacing w:before="0" w:beforeAutospacing="0" w:after="0" w:afterAutospacing="0" w:line="480" w:lineRule="auto"/>
      </w:pPr>
      <w:r w:rsidRPr="006E4535">
        <w:tab/>
      </w:r>
      <w:r w:rsidR="004A518B">
        <w:t xml:space="preserve">This template takes care of all </w:t>
      </w:r>
      <w:r w:rsidR="00081D43">
        <w:t xml:space="preserve">of </w:t>
      </w:r>
      <w:r w:rsidR="004A518B">
        <w:t>the APA formatting requirements for your paper:</w:t>
      </w:r>
      <w:r w:rsidR="004A518B" w:rsidRPr="001831DA">
        <w:t xml:space="preserve"> </w:t>
      </w:r>
      <w:r w:rsidR="004A518B">
        <w:t xml:space="preserve">It uses size 12 Times New Roman font, is double-spaced with </w:t>
      </w:r>
      <w:r w:rsidR="00081D43">
        <w:t>1-</w:t>
      </w:r>
      <w:r w:rsidR="004A518B" w:rsidRPr="001831DA">
        <w:t xml:space="preserve">inch margins </w:t>
      </w:r>
      <w:r w:rsidR="004A518B">
        <w:t xml:space="preserve">throughout, and </w:t>
      </w:r>
      <w:r w:rsidR="004A518B" w:rsidRPr="001831DA">
        <w:t>includes a Title page and a Reference page. Follow APA formatt</w:t>
      </w:r>
      <w:r w:rsidR="004A518B">
        <w:t>ing requirements for citing</w:t>
      </w:r>
      <w:r w:rsidR="004A518B" w:rsidRPr="001831DA">
        <w:t xml:space="preserve"> your sources within your paper and </w:t>
      </w:r>
      <w:r w:rsidR="004A518B">
        <w:t>for</w:t>
      </w:r>
      <w:r w:rsidR="004A518B" w:rsidRPr="001831DA">
        <w:t xml:space="preserve"> list</w:t>
      </w:r>
      <w:r w:rsidR="004A518B">
        <w:t>ing</w:t>
      </w:r>
      <w:r w:rsidR="004A518B" w:rsidRPr="001831DA">
        <w:t xml:space="preserve"> them on your Reference</w:t>
      </w:r>
      <w:r w:rsidR="004A518B">
        <w:t xml:space="preserve"> page. Make sure</w:t>
      </w:r>
      <w:r w:rsidR="004A518B" w:rsidRPr="001831DA">
        <w:t xml:space="preserve"> </w:t>
      </w:r>
      <w:r w:rsidR="007669A8">
        <w:t xml:space="preserve">that </w:t>
      </w:r>
      <w:r w:rsidR="004A518B" w:rsidRPr="001831DA">
        <w:t>your paper is 2</w:t>
      </w:r>
      <w:r w:rsidR="00081D43">
        <w:t>–</w:t>
      </w:r>
      <w:r w:rsidR="004A518B" w:rsidRPr="001831DA">
        <w:t>3 pages in length</w:t>
      </w:r>
      <w:r w:rsidR="007669A8">
        <w:t>,</w:t>
      </w:r>
      <w:r w:rsidR="004A518B" w:rsidRPr="001831DA">
        <w:t xml:space="preserve"> not counting the Title or Reference pages</w:t>
      </w:r>
      <w:r w:rsidR="007669A8">
        <w:t>,</w:t>
      </w:r>
      <w:r w:rsidR="004A518B">
        <w:t xml:space="preserve"> and is free of </w:t>
      </w:r>
      <w:r w:rsidR="004A518B" w:rsidRPr="001831DA">
        <w:t>grammar and spelling errors</w:t>
      </w:r>
      <w:r w:rsidR="004A518B">
        <w:t>.</w:t>
      </w:r>
      <w:r w:rsidR="004A518B" w:rsidRPr="001831DA">
        <w:t xml:space="preserve"> </w:t>
      </w:r>
      <w:r w:rsidR="004A518B" w:rsidRPr="00F35F6F">
        <w:t>When using this template, be sure to eliminate these directions; only your own writing should appear in your final submission.</w:t>
      </w:r>
    </w:p>
    <w:p w14:paraId="10BEECAE" w14:textId="532BF49E" w:rsidR="006E4535" w:rsidRPr="00A5238F" w:rsidRDefault="00994FC2" w:rsidP="006E4535">
      <w:pPr>
        <w:spacing w:line="480" w:lineRule="auto"/>
        <w:ind w:firstLine="540"/>
        <w:rPr>
          <w:b/>
        </w:rPr>
      </w:pPr>
      <w:r>
        <w:t>Open your paper</w:t>
      </w:r>
      <w:r w:rsidR="00A53DA5">
        <w:t xml:space="preserve"> with </w:t>
      </w:r>
      <w:r w:rsidRPr="007669A8">
        <w:t>the</w:t>
      </w:r>
      <w:r w:rsidR="006E4535" w:rsidRPr="007669A8">
        <w:t xml:space="preserve"> </w:t>
      </w:r>
      <w:r w:rsidR="006E4535" w:rsidRPr="00F35F6F">
        <w:t>introductory paragraph</w:t>
      </w:r>
      <w:r w:rsidR="00A53DA5">
        <w:t>. It</w:t>
      </w:r>
      <w:r w:rsidR="006E4535" w:rsidRPr="006E4535">
        <w:t xml:space="preserve"> begins on the line following the title of the paper. </w:t>
      </w:r>
      <w:r w:rsidR="00293108">
        <w:t>It should introduce the main idea of your essay and explain the importance of the topic</w:t>
      </w:r>
      <w:r w:rsidR="00BF15FA">
        <w:t>.</w:t>
      </w:r>
    </w:p>
    <w:p w14:paraId="078A956C" w14:textId="2E4EB89F" w:rsidR="006E4535" w:rsidRDefault="006E4535" w:rsidP="006E4535">
      <w:pPr>
        <w:shd w:val="clear" w:color="auto" w:fill="FFFFFF"/>
        <w:spacing w:line="480" w:lineRule="auto"/>
        <w:ind w:firstLine="540"/>
        <w:rPr>
          <w:color w:val="222222"/>
        </w:rPr>
      </w:pPr>
      <w:r w:rsidRPr="006E4535">
        <w:rPr>
          <w:color w:val="222222"/>
        </w:rPr>
        <w:t xml:space="preserve">For the </w:t>
      </w:r>
      <w:r w:rsidR="00081D43" w:rsidRPr="00F35F6F">
        <w:rPr>
          <w:color w:val="222222"/>
        </w:rPr>
        <w:t xml:space="preserve">first </w:t>
      </w:r>
      <w:r w:rsidRPr="00F35F6F">
        <w:rPr>
          <w:color w:val="222222"/>
        </w:rPr>
        <w:t>body paragraph</w:t>
      </w:r>
      <w:r w:rsidRPr="006E4535">
        <w:rPr>
          <w:color w:val="222222"/>
        </w:rPr>
        <w:t>, review the table</w:t>
      </w:r>
      <w:r w:rsidR="00081D43">
        <w:rPr>
          <w:color w:val="222222"/>
        </w:rPr>
        <w:t xml:space="preserve"> or </w:t>
      </w:r>
      <w:r w:rsidRPr="006E4535">
        <w:rPr>
          <w:color w:val="222222"/>
        </w:rPr>
        <w:t xml:space="preserve">data chart provided below (retain it in your paper), and describe at least </w:t>
      </w:r>
      <w:r w:rsidR="00081D43">
        <w:rPr>
          <w:color w:val="222222"/>
        </w:rPr>
        <w:t>2</w:t>
      </w:r>
      <w:r w:rsidR="00081D43" w:rsidRPr="006E4535">
        <w:rPr>
          <w:color w:val="222222"/>
        </w:rPr>
        <w:t xml:space="preserve"> </w:t>
      </w:r>
      <w:r w:rsidRPr="006E4535">
        <w:rPr>
          <w:color w:val="222222"/>
        </w:rPr>
        <w:t xml:space="preserve">trends in activity </w:t>
      </w:r>
      <w:r w:rsidR="00081D43">
        <w:rPr>
          <w:color w:val="222222"/>
        </w:rPr>
        <w:t xml:space="preserve">that </w:t>
      </w:r>
      <w:r w:rsidRPr="006E4535">
        <w:rPr>
          <w:color w:val="222222"/>
        </w:rPr>
        <w:t xml:space="preserve">you notice relating to the slave trade in Africa. </w:t>
      </w:r>
    </w:p>
    <w:p w14:paraId="6A930B47" w14:textId="77777777" w:rsidR="00362BD8" w:rsidRDefault="00362BD8" w:rsidP="00362BD8">
      <w:pPr>
        <w:shd w:val="clear" w:color="auto" w:fill="FFFFFF"/>
        <w:spacing w:line="480" w:lineRule="auto"/>
        <w:rPr>
          <w:color w:val="222222"/>
        </w:rPr>
      </w:pPr>
      <w:r w:rsidRPr="009912C1">
        <w:rPr>
          <w:noProof/>
        </w:rPr>
        <w:lastRenderedPageBreak/>
        <w:drawing>
          <wp:inline distT="0" distB="0" distL="0" distR="0" wp14:anchorId="40F99138" wp14:editId="0ABCDCF4">
            <wp:extent cx="6005015" cy="3364173"/>
            <wp:effectExtent l="0" t="0" r="1524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906" w:type="pct"/>
        <w:jc w:val="center"/>
        <w:tblLook w:val="04A0" w:firstRow="1" w:lastRow="0" w:firstColumn="1" w:lastColumn="0" w:noHBand="0" w:noVBand="1"/>
      </w:tblPr>
      <w:tblGrid>
        <w:gridCol w:w="1378"/>
        <w:gridCol w:w="1457"/>
        <w:gridCol w:w="1030"/>
        <w:gridCol w:w="1031"/>
        <w:gridCol w:w="1031"/>
        <w:gridCol w:w="1032"/>
        <w:gridCol w:w="1032"/>
        <w:gridCol w:w="1188"/>
      </w:tblGrid>
      <w:tr w:rsidR="00362BD8" w:rsidRPr="0043669C" w14:paraId="1F24E090" w14:textId="77777777" w:rsidTr="00004543">
        <w:trPr>
          <w:trHeight w:val="603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1BB" w14:textId="77777777" w:rsidR="00362BD8" w:rsidRPr="0043669C" w:rsidRDefault="00362BD8" w:rsidP="00FD2AA5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3669C">
              <w:rPr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1919BBA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Senegambia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A1022A3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Sierra Leone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80D888D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Gold Coast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A3C720C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Bight of Benin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F0149F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Bight of Biafra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453DE92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>West Central Africa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08E5377" w14:textId="77777777" w:rsidR="00362BD8" w:rsidRPr="0043669C" w:rsidRDefault="00362BD8" w:rsidP="00FD2AA5">
            <w:pPr>
              <w:jc w:val="center"/>
              <w:rPr>
                <w:b/>
                <w:bCs/>
                <w:color w:val="FFFFFF"/>
                <w:szCs w:val="18"/>
              </w:rPr>
            </w:pPr>
            <w:r w:rsidRPr="0043669C">
              <w:rPr>
                <w:b/>
                <w:bCs/>
                <w:color w:val="FFFFFF"/>
                <w:szCs w:val="18"/>
              </w:rPr>
              <w:t xml:space="preserve">Total </w:t>
            </w:r>
          </w:p>
        </w:tc>
      </w:tr>
      <w:tr w:rsidR="00362BD8" w:rsidRPr="0043669C" w14:paraId="2A9EFDEA" w14:textId="77777777" w:rsidTr="00004543">
        <w:trPr>
          <w:trHeight w:val="301"/>
          <w:jc w:val="center"/>
        </w:trPr>
        <w:tc>
          <w:tcPr>
            <w:tcW w:w="7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64C7B02E" w14:textId="77777777" w:rsidR="00362BD8" w:rsidRPr="0043669C" w:rsidRDefault="00362BD8" w:rsidP="00FD2AA5">
            <w:pPr>
              <w:jc w:val="center"/>
              <w:rPr>
                <w:szCs w:val="18"/>
              </w:rPr>
            </w:pPr>
            <w:r w:rsidRPr="0043669C">
              <w:rPr>
                <w:szCs w:val="18"/>
              </w:rPr>
              <w:t>1701-1725</w:t>
            </w:r>
          </w:p>
        </w:tc>
        <w:tc>
          <w:tcPr>
            <w:tcW w:w="781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5BBEB392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40,000</w:t>
            </w:r>
          </w:p>
        </w:tc>
        <w:tc>
          <w:tcPr>
            <w:tcW w:w="563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3DFBC03B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7,000</w:t>
            </w:r>
          </w:p>
        </w:tc>
        <w:tc>
          <w:tcPr>
            <w:tcW w:w="563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E0A6940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182,000</w:t>
            </w:r>
          </w:p>
        </w:tc>
        <w:tc>
          <w:tcPr>
            <w:tcW w:w="563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074C9F0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408,000</w:t>
            </w:r>
          </w:p>
        </w:tc>
        <w:tc>
          <w:tcPr>
            <w:tcW w:w="564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4B73E89C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46,000</w:t>
            </w:r>
          </w:p>
        </w:tc>
        <w:tc>
          <w:tcPr>
            <w:tcW w:w="564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38AF7C38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257,000</w:t>
            </w:r>
          </w:p>
        </w:tc>
        <w:tc>
          <w:tcPr>
            <w:tcW w:w="649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3F3D3820" w14:textId="77777777" w:rsidR="00362BD8" w:rsidRPr="0043669C" w:rsidRDefault="00362BD8" w:rsidP="00FD2AA5">
            <w:pPr>
              <w:jc w:val="right"/>
              <w:rPr>
                <w:b/>
                <w:bCs/>
                <w:szCs w:val="18"/>
              </w:rPr>
            </w:pPr>
            <w:r w:rsidRPr="0043669C">
              <w:rPr>
                <w:b/>
                <w:bCs/>
                <w:szCs w:val="18"/>
              </w:rPr>
              <w:t>940,000</w:t>
            </w:r>
          </w:p>
        </w:tc>
      </w:tr>
      <w:tr w:rsidR="00362BD8" w:rsidRPr="0043669C" w14:paraId="3E636201" w14:textId="77777777" w:rsidTr="00004543">
        <w:trPr>
          <w:trHeight w:val="301"/>
          <w:jc w:val="center"/>
        </w:trPr>
        <w:tc>
          <w:tcPr>
            <w:tcW w:w="753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307FCF21" w14:textId="77777777" w:rsidR="00362BD8" w:rsidRPr="0043669C" w:rsidRDefault="00362BD8" w:rsidP="00FD2AA5">
            <w:pPr>
              <w:jc w:val="center"/>
              <w:rPr>
                <w:szCs w:val="18"/>
              </w:rPr>
            </w:pPr>
            <w:r w:rsidRPr="0043669C">
              <w:rPr>
                <w:szCs w:val="18"/>
              </w:rPr>
              <w:t>1726-1750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3239E5A7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70,000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22C0823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11,000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1E412A11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186,000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44F791B0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306,000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689CD9A9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166,000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64572898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553,000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EBD4740" w14:textId="77777777" w:rsidR="00362BD8" w:rsidRPr="0043669C" w:rsidRDefault="00362BD8" w:rsidP="00FD2AA5">
            <w:pPr>
              <w:jc w:val="right"/>
              <w:rPr>
                <w:b/>
                <w:bCs/>
                <w:szCs w:val="18"/>
              </w:rPr>
            </w:pPr>
            <w:r w:rsidRPr="0043669C">
              <w:rPr>
                <w:b/>
                <w:bCs/>
                <w:szCs w:val="18"/>
              </w:rPr>
              <w:t>1,292,000</w:t>
            </w:r>
          </w:p>
        </w:tc>
      </w:tr>
      <w:tr w:rsidR="00362BD8" w:rsidRPr="0043669C" w14:paraId="4E4F4222" w14:textId="77777777" w:rsidTr="00004543">
        <w:trPr>
          <w:trHeight w:val="301"/>
          <w:jc w:val="center"/>
        </w:trPr>
        <w:tc>
          <w:tcPr>
            <w:tcW w:w="753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05B38EAB" w14:textId="77777777" w:rsidR="00362BD8" w:rsidRPr="0043669C" w:rsidRDefault="00362BD8" w:rsidP="00FD2AA5">
            <w:pPr>
              <w:jc w:val="center"/>
              <w:rPr>
                <w:szCs w:val="18"/>
              </w:rPr>
            </w:pPr>
            <w:r w:rsidRPr="0043669C">
              <w:rPr>
                <w:szCs w:val="18"/>
              </w:rPr>
              <w:t>1751-1775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5474E27A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130,000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2321508B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97,000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501B9F64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264,000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4EBE9053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251,000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FB3A78D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340,000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2A2FBF8A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715,000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04D3D998" w14:textId="77777777" w:rsidR="00362BD8" w:rsidRPr="0043669C" w:rsidRDefault="00362BD8" w:rsidP="00FD2AA5">
            <w:pPr>
              <w:jc w:val="right"/>
              <w:rPr>
                <w:b/>
                <w:bCs/>
                <w:szCs w:val="18"/>
              </w:rPr>
            </w:pPr>
            <w:r w:rsidRPr="0043669C">
              <w:rPr>
                <w:b/>
                <w:bCs/>
                <w:szCs w:val="18"/>
              </w:rPr>
              <w:t>1,797,000</w:t>
            </w:r>
          </w:p>
        </w:tc>
      </w:tr>
      <w:tr w:rsidR="00362BD8" w:rsidRPr="0043669C" w14:paraId="7BEB3C68" w14:textId="77777777" w:rsidTr="00004543">
        <w:trPr>
          <w:trHeight w:val="301"/>
          <w:jc w:val="center"/>
        </w:trPr>
        <w:tc>
          <w:tcPr>
            <w:tcW w:w="753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51A8E8BE" w14:textId="77777777" w:rsidR="00362BD8" w:rsidRPr="0043669C" w:rsidRDefault="00362BD8" w:rsidP="00FD2AA5">
            <w:pPr>
              <w:jc w:val="center"/>
              <w:rPr>
                <w:szCs w:val="18"/>
              </w:rPr>
            </w:pPr>
            <w:r w:rsidRPr="0043669C">
              <w:rPr>
                <w:szCs w:val="18"/>
              </w:rPr>
              <w:t>1776-1800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57F5AB6C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72,000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06BE2561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106,000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47ACB73B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241,000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47FE26BA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265,000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7C2094AB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360,000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08F461EE" w14:textId="77777777" w:rsidR="00362BD8" w:rsidRPr="0043669C" w:rsidRDefault="00362BD8" w:rsidP="00FD2AA5">
            <w:pPr>
              <w:jc w:val="right"/>
              <w:rPr>
                <w:szCs w:val="18"/>
              </w:rPr>
            </w:pPr>
            <w:r w:rsidRPr="0043669C">
              <w:rPr>
                <w:szCs w:val="18"/>
              </w:rPr>
              <w:t>816,000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14:paraId="225D9A0A" w14:textId="77777777" w:rsidR="00362BD8" w:rsidRPr="0043669C" w:rsidRDefault="00362BD8" w:rsidP="00FD2AA5">
            <w:pPr>
              <w:jc w:val="right"/>
              <w:rPr>
                <w:b/>
                <w:bCs/>
                <w:szCs w:val="18"/>
              </w:rPr>
            </w:pPr>
            <w:r w:rsidRPr="0043669C">
              <w:rPr>
                <w:b/>
                <w:bCs/>
                <w:szCs w:val="18"/>
              </w:rPr>
              <w:t>1,860,000</w:t>
            </w:r>
          </w:p>
        </w:tc>
      </w:tr>
    </w:tbl>
    <w:p w14:paraId="0A796CA1" w14:textId="1FB899DF" w:rsidR="00362BD8" w:rsidRPr="0043669C" w:rsidRDefault="00692A40" w:rsidP="004B4F6C">
      <w:pPr>
        <w:shd w:val="clear" w:color="auto" w:fill="FFFFFF"/>
        <w:tabs>
          <w:tab w:val="left" w:pos="6652"/>
        </w:tabs>
        <w:spacing w:line="480" w:lineRule="auto"/>
        <w:jc w:val="center"/>
        <w:rPr>
          <w:color w:val="222222"/>
        </w:rPr>
      </w:pPr>
      <w:r>
        <w:rPr>
          <w:i/>
          <w:sz w:val="20"/>
          <w:szCs w:val="20"/>
        </w:rPr>
        <w:t>(</w:t>
      </w:r>
      <w:r w:rsidR="00004543" w:rsidRPr="0043669C">
        <w:rPr>
          <w:i/>
          <w:sz w:val="20"/>
          <w:szCs w:val="20"/>
        </w:rPr>
        <w:t xml:space="preserve">Graph and table </w:t>
      </w:r>
      <w:r>
        <w:rPr>
          <w:i/>
          <w:sz w:val="18"/>
          <w:szCs w:val="18"/>
        </w:rPr>
        <w:t>a</w:t>
      </w:r>
      <w:r w:rsidRPr="0043669C">
        <w:rPr>
          <w:i/>
          <w:sz w:val="18"/>
          <w:szCs w:val="18"/>
        </w:rPr>
        <w:t xml:space="preserve">dapted </w:t>
      </w:r>
      <w:r w:rsidR="00004543" w:rsidRPr="0043669C">
        <w:rPr>
          <w:i/>
          <w:sz w:val="18"/>
          <w:szCs w:val="18"/>
        </w:rPr>
        <w:t xml:space="preserve">from </w:t>
      </w:r>
      <w:proofErr w:type="spellStart"/>
      <w:r w:rsidR="00004543" w:rsidRPr="0043669C">
        <w:rPr>
          <w:i/>
          <w:sz w:val="18"/>
          <w:szCs w:val="18"/>
        </w:rPr>
        <w:t>Eltis</w:t>
      </w:r>
      <w:proofErr w:type="spellEnd"/>
      <w:r w:rsidR="00004543" w:rsidRPr="0043669C">
        <w:rPr>
          <w:i/>
          <w:sz w:val="18"/>
          <w:szCs w:val="18"/>
        </w:rPr>
        <w:t xml:space="preserve"> et al., 2001</w:t>
      </w:r>
      <w:r w:rsidR="00081D43">
        <w:rPr>
          <w:i/>
          <w:sz w:val="18"/>
          <w:szCs w:val="18"/>
        </w:rPr>
        <w:t>, as</w:t>
      </w:r>
      <w:r w:rsidR="00004543" w:rsidRPr="0043669C">
        <w:rPr>
          <w:i/>
          <w:sz w:val="18"/>
          <w:szCs w:val="18"/>
        </w:rPr>
        <w:t xml:space="preserve"> cited in Brown </w:t>
      </w:r>
      <w:r w:rsidR="00081D43">
        <w:rPr>
          <w:i/>
          <w:sz w:val="18"/>
          <w:szCs w:val="18"/>
        </w:rPr>
        <w:t>&amp;</w:t>
      </w:r>
      <w:r w:rsidR="00081D43" w:rsidRPr="0043669C">
        <w:rPr>
          <w:i/>
          <w:sz w:val="18"/>
          <w:szCs w:val="18"/>
        </w:rPr>
        <w:t xml:space="preserve"> </w:t>
      </w:r>
      <w:r w:rsidR="00004543" w:rsidRPr="0043669C">
        <w:rPr>
          <w:i/>
          <w:sz w:val="18"/>
          <w:szCs w:val="18"/>
        </w:rPr>
        <w:t>Knapp, 2021</w:t>
      </w:r>
      <w:r>
        <w:rPr>
          <w:i/>
          <w:sz w:val="18"/>
          <w:szCs w:val="18"/>
        </w:rPr>
        <w:t>)</w:t>
      </w:r>
    </w:p>
    <w:p w14:paraId="6F48FFED" w14:textId="4F2B8712" w:rsidR="006E4535" w:rsidRPr="00E06D09" w:rsidRDefault="006E4535" w:rsidP="006E4535">
      <w:pPr>
        <w:spacing w:line="480" w:lineRule="auto"/>
        <w:ind w:firstLine="540"/>
      </w:pPr>
      <w:r w:rsidRPr="006E4535">
        <w:rPr>
          <w:color w:val="222222"/>
        </w:rPr>
        <w:t xml:space="preserve">For the </w:t>
      </w:r>
      <w:r w:rsidR="00081D43" w:rsidRPr="00F35F6F">
        <w:rPr>
          <w:color w:val="222222"/>
        </w:rPr>
        <w:t xml:space="preserve">second </w:t>
      </w:r>
      <w:r w:rsidRPr="00F35F6F">
        <w:rPr>
          <w:color w:val="222222"/>
        </w:rPr>
        <w:t>body paragraph</w:t>
      </w:r>
      <w:r w:rsidRPr="006E4535">
        <w:rPr>
          <w:color w:val="222222"/>
        </w:rPr>
        <w:t xml:space="preserve">, select a country from which populations in Africa were enslaved, and provide some background </w:t>
      </w:r>
      <w:r w:rsidRPr="00E06D09">
        <w:rPr>
          <w:color w:val="222222"/>
        </w:rPr>
        <w:t>information on that country</w:t>
      </w:r>
      <w:r w:rsidR="0018540C">
        <w:rPr>
          <w:color w:val="222222"/>
        </w:rPr>
        <w:t xml:space="preserve">. Be sure </w:t>
      </w:r>
      <w:r w:rsidR="0033126E">
        <w:rPr>
          <w:color w:val="222222"/>
        </w:rPr>
        <w:t xml:space="preserve">that </w:t>
      </w:r>
      <w:r w:rsidR="0018540C">
        <w:rPr>
          <w:color w:val="222222"/>
        </w:rPr>
        <w:t>you i</w:t>
      </w:r>
      <w:r w:rsidRPr="00E06D09">
        <w:rPr>
          <w:color w:val="222222"/>
        </w:rPr>
        <w:t xml:space="preserve">dentify the former colonial ruling country, your selected </w:t>
      </w:r>
      <w:r w:rsidR="0033126E" w:rsidRPr="00E06D09">
        <w:rPr>
          <w:color w:val="222222"/>
        </w:rPr>
        <w:t>country's</w:t>
      </w:r>
      <w:r w:rsidR="0033126E">
        <w:rPr>
          <w:color w:val="222222"/>
        </w:rPr>
        <w:t xml:space="preserve"> </w:t>
      </w:r>
      <w:r w:rsidRPr="00E06D09">
        <w:rPr>
          <w:color w:val="222222"/>
        </w:rPr>
        <w:t xml:space="preserve">date of independence from the colonial ruling country, and the length of time </w:t>
      </w:r>
      <w:r w:rsidR="0033126E">
        <w:rPr>
          <w:color w:val="222222"/>
        </w:rPr>
        <w:t xml:space="preserve">that </w:t>
      </w:r>
      <w:r w:rsidRPr="00E06D09">
        <w:rPr>
          <w:color w:val="222222"/>
        </w:rPr>
        <w:t>the slave trade operated there.</w:t>
      </w:r>
      <w:r w:rsidRPr="00E06D09">
        <w:t xml:space="preserve"> Be sure to </w:t>
      </w:r>
      <w:r w:rsidR="0018540C">
        <w:t>cite the source of this information</w:t>
      </w:r>
      <w:r w:rsidRPr="00E06D09">
        <w:t xml:space="preserve"> with properly formatted APA in-text source information.</w:t>
      </w:r>
    </w:p>
    <w:p w14:paraId="5E8F2414" w14:textId="68310A2A" w:rsidR="006E4535" w:rsidRPr="00E06D09" w:rsidRDefault="006E4535" w:rsidP="006E4535">
      <w:pPr>
        <w:spacing w:line="480" w:lineRule="auto"/>
        <w:ind w:firstLine="540"/>
      </w:pPr>
      <w:r w:rsidRPr="00E06D09">
        <w:rPr>
          <w:color w:val="222222"/>
        </w:rPr>
        <w:t xml:space="preserve">For your </w:t>
      </w:r>
      <w:r w:rsidR="0033126E" w:rsidRPr="00F35F6F">
        <w:rPr>
          <w:color w:val="222222"/>
        </w:rPr>
        <w:t xml:space="preserve">third </w:t>
      </w:r>
      <w:r w:rsidRPr="00F35F6F">
        <w:rPr>
          <w:color w:val="222222"/>
        </w:rPr>
        <w:t>body paragraph</w:t>
      </w:r>
      <w:r w:rsidRPr="00E06D09">
        <w:rPr>
          <w:color w:val="222222"/>
        </w:rPr>
        <w:t xml:space="preserve">, discuss for your chosen country how the slave trade affected the African </w:t>
      </w:r>
      <w:r w:rsidR="008C4A28" w:rsidRPr="00E06D09">
        <w:rPr>
          <w:color w:val="222222"/>
        </w:rPr>
        <w:t>culture</w:t>
      </w:r>
      <w:r w:rsidR="008C4A28">
        <w:rPr>
          <w:color w:val="222222"/>
        </w:rPr>
        <w:t>'</w:t>
      </w:r>
      <w:r w:rsidR="008C4A28" w:rsidRPr="00E06D09">
        <w:rPr>
          <w:color w:val="222222"/>
        </w:rPr>
        <w:t xml:space="preserve">s </w:t>
      </w:r>
      <w:r w:rsidRPr="00E06D09">
        <w:rPr>
          <w:color w:val="222222"/>
        </w:rPr>
        <w:t>organization (family unit or community level)</w:t>
      </w:r>
      <w:r w:rsidR="008C4A28">
        <w:rPr>
          <w:color w:val="222222"/>
        </w:rPr>
        <w:t>,</w:t>
      </w:r>
      <w:r w:rsidRPr="00E06D09">
        <w:rPr>
          <w:color w:val="222222"/>
        </w:rPr>
        <w:t xml:space="preserve"> and describe how those effects are still felt today in your chosen country. Be sure to support your discussion with </w:t>
      </w:r>
      <w:r w:rsidRPr="00E06D09">
        <w:rPr>
          <w:color w:val="222222"/>
        </w:rPr>
        <w:lastRenderedPageBreak/>
        <w:t xml:space="preserve">at least </w:t>
      </w:r>
      <w:r w:rsidR="008C4A28">
        <w:rPr>
          <w:color w:val="222222"/>
        </w:rPr>
        <w:t>2</w:t>
      </w:r>
      <w:r w:rsidR="008C4A28" w:rsidRPr="00E06D09">
        <w:rPr>
          <w:color w:val="222222"/>
        </w:rPr>
        <w:t xml:space="preserve"> </w:t>
      </w:r>
      <w:r w:rsidRPr="00E06D09">
        <w:rPr>
          <w:color w:val="222222"/>
        </w:rPr>
        <w:t>relevant examples.</w:t>
      </w:r>
      <w:r w:rsidRPr="00E06D09">
        <w:t xml:space="preserve"> Be sure to support your opinions</w:t>
      </w:r>
      <w:r w:rsidR="008C4A28">
        <w:t xml:space="preserve"> or </w:t>
      </w:r>
      <w:r w:rsidRPr="00E06D09">
        <w:t>positions with properly formatted APA in-text source information</w:t>
      </w:r>
      <w:r w:rsidR="008C4A28">
        <w:t>,</w:t>
      </w:r>
      <w:r w:rsidR="00A5238F" w:rsidRPr="00E06D09">
        <w:t xml:space="preserve"> as well as examples</w:t>
      </w:r>
      <w:r w:rsidRPr="00E06D09">
        <w:t xml:space="preserve">. </w:t>
      </w:r>
    </w:p>
    <w:p w14:paraId="3467EC35" w14:textId="282A4EBB" w:rsidR="006E4535" w:rsidRPr="00E06D09" w:rsidRDefault="006E4535" w:rsidP="006E4535">
      <w:pPr>
        <w:shd w:val="clear" w:color="auto" w:fill="FFFFFF"/>
        <w:spacing w:line="480" w:lineRule="auto"/>
        <w:ind w:firstLine="540"/>
        <w:rPr>
          <w:color w:val="222222"/>
        </w:rPr>
      </w:pPr>
      <w:r w:rsidRPr="00E06D09">
        <w:rPr>
          <w:color w:val="222222"/>
        </w:rPr>
        <w:t xml:space="preserve">For your </w:t>
      </w:r>
      <w:r w:rsidR="008C4A28" w:rsidRPr="00F35F6F">
        <w:rPr>
          <w:color w:val="222222"/>
        </w:rPr>
        <w:t xml:space="preserve">fourth </w:t>
      </w:r>
      <w:r w:rsidRPr="00F35F6F">
        <w:rPr>
          <w:color w:val="222222"/>
        </w:rPr>
        <w:t>body paragraph</w:t>
      </w:r>
      <w:r w:rsidRPr="00E06D09">
        <w:rPr>
          <w:color w:val="222222"/>
        </w:rPr>
        <w:t xml:space="preserve">, based on the information </w:t>
      </w:r>
      <w:r w:rsidR="008C4A28">
        <w:rPr>
          <w:color w:val="222222"/>
        </w:rPr>
        <w:t xml:space="preserve">that </w:t>
      </w:r>
      <w:r w:rsidRPr="00E06D09">
        <w:rPr>
          <w:color w:val="222222"/>
        </w:rPr>
        <w:t xml:space="preserve">you gathered on your chosen country, </w:t>
      </w:r>
      <w:r w:rsidR="00C502B6">
        <w:rPr>
          <w:color w:val="222222"/>
        </w:rPr>
        <w:t xml:space="preserve">describe in detail at least </w:t>
      </w:r>
      <w:r w:rsidR="008C4A28">
        <w:rPr>
          <w:color w:val="222222"/>
        </w:rPr>
        <w:t xml:space="preserve">2 </w:t>
      </w:r>
      <w:r w:rsidRPr="00E06D09">
        <w:rPr>
          <w:color w:val="222222"/>
        </w:rPr>
        <w:t xml:space="preserve">recommendations to </w:t>
      </w:r>
      <w:r w:rsidR="008C4A28" w:rsidRPr="00E06D09">
        <w:rPr>
          <w:color w:val="222222"/>
        </w:rPr>
        <w:t>help</w:t>
      </w:r>
      <w:r w:rsidR="008C4A28">
        <w:rPr>
          <w:color w:val="222222"/>
        </w:rPr>
        <w:t xml:space="preserve"> </w:t>
      </w:r>
      <w:r w:rsidRPr="00E06D09">
        <w:rPr>
          <w:color w:val="222222"/>
        </w:rPr>
        <w:t>improve the conditions in the country</w:t>
      </w:r>
      <w:r w:rsidR="00C502B6">
        <w:rPr>
          <w:color w:val="222222"/>
        </w:rPr>
        <w:t xml:space="preserve">. Make sure </w:t>
      </w:r>
      <w:r w:rsidR="008C4A28">
        <w:rPr>
          <w:color w:val="222222"/>
        </w:rPr>
        <w:t xml:space="preserve">that </w:t>
      </w:r>
      <w:r w:rsidR="00C502B6">
        <w:rPr>
          <w:color w:val="222222"/>
        </w:rPr>
        <w:t xml:space="preserve">your recommendations </w:t>
      </w:r>
      <w:r w:rsidR="00770DE9">
        <w:rPr>
          <w:color w:val="222222"/>
        </w:rPr>
        <w:t>satisfy the following:</w:t>
      </w:r>
    </w:p>
    <w:p w14:paraId="11DD7809" w14:textId="3DF1ED92" w:rsidR="006E4535" w:rsidRPr="00E06D09" w:rsidRDefault="00770DE9" w:rsidP="00F35F6F">
      <w:pPr>
        <w:numPr>
          <w:ilvl w:val="2"/>
          <w:numId w:val="3"/>
        </w:numPr>
        <w:shd w:val="clear" w:color="auto" w:fill="FFFFFF"/>
        <w:spacing w:line="480" w:lineRule="auto"/>
        <w:rPr>
          <w:color w:val="222222"/>
        </w:rPr>
      </w:pPr>
      <w:r>
        <w:rPr>
          <w:color w:val="222222"/>
        </w:rPr>
        <w:t xml:space="preserve">They are </w:t>
      </w:r>
      <w:r w:rsidR="006E4535" w:rsidRPr="00E06D09">
        <w:rPr>
          <w:color w:val="222222"/>
        </w:rPr>
        <w:t>specific to the issues identified</w:t>
      </w:r>
      <w:r w:rsidR="00C502B6">
        <w:rPr>
          <w:color w:val="222222"/>
        </w:rPr>
        <w:t xml:space="preserve"> in the previous paragraph</w:t>
      </w:r>
      <w:r>
        <w:rPr>
          <w:color w:val="222222"/>
        </w:rPr>
        <w:t>.</w:t>
      </w:r>
    </w:p>
    <w:p w14:paraId="171F32B2" w14:textId="3A783C38" w:rsidR="006E4535" w:rsidRPr="00C502B6" w:rsidRDefault="00770DE9" w:rsidP="00F35F6F">
      <w:pPr>
        <w:numPr>
          <w:ilvl w:val="2"/>
          <w:numId w:val="3"/>
        </w:numPr>
        <w:shd w:val="clear" w:color="auto" w:fill="FFFFFF"/>
        <w:spacing w:line="480" w:lineRule="auto"/>
        <w:rPr>
          <w:color w:val="222222"/>
        </w:rPr>
      </w:pPr>
      <w:r>
        <w:rPr>
          <w:color w:val="222222"/>
        </w:rPr>
        <w:t xml:space="preserve">They are </w:t>
      </w:r>
      <w:r w:rsidR="00C502B6" w:rsidRPr="00E06D09">
        <w:rPr>
          <w:color w:val="222222"/>
        </w:rPr>
        <w:t xml:space="preserve">realistic </w:t>
      </w:r>
      <w:r w:rsidR="006E4535" w:rsidRPr="00E06D09">
        <w:rPr>
          <w:color w:val="222222"/>
        </w:rPr>
        <w:t>(politically, economically, and operationally)</w:t>
      </w:r>
      <w:r>
        <w:rPr>
          <w:color w:val="222222"/>
        </w:rPr>
        <w:t>.</w:t>
      </w:r>
    </w:p>
    <w:p w14:paraId="22E8A651" w14:textId="7A1B2A15" w:rsidR="006E4535" w:rsidRPr="00E06D09" w:rsidRDefault="006E4535" w:rsidP="00F35F6F">
      <w:pPr>
        <w:spacing w:line="480" w:lineRule="auto"/>
        <w:ind w:firstLine="540"/>
      </w:pPr>
      <w:r w:rsidRPr="00E06D09">
        <w:t>Be sure to support your opinions</w:t>
      </w:r>
      <w:r w:rsidR="00770DE9">
        <w:t xml:space="preserve"> or </w:t>
      </w:r>
      <w:r w:rsidRPr="00E06D09">
        <w:t>positions with properly formatted APA in-text source information</w:t>
      </w:r>
      <w:r w:rsidR="00770DE9">
        <w:t>,</w:t>
      </w:r>
      <w:r w:rsidR="00A5238F" w:rsidRPr="00E06D09">
        <w:t xml:space="preserve"> as well as examples</w:t>
      </w:r>
      <w:r w:rsidRPr="00E06D09">
        <w:t xml:space="preserve">. </w:t>
      </w:r>
    </w:p>
    <w:p w14:paraId="5241281F" w14:textId="7F2A52C6" w:rsidR="006E4535" w:rsidRPr="006E4535" w:rsidRDefault="00A53DA5" w:rsidP="006E4535">
      <w:pPr>
        <w:spacing w:line="480" w:lineRule="auto"/>
        <w:ind w:firstLine="540"/>
      </w:pPr>
      <w:r>
        <w:t xml:space="preserve">The </w:t>
      </w:r>
      <w:r w:rsidRPr="00F35F6F">
        <w:t>last paragraph</w:t>
      </w:r>
      <w:r>
        <w:t xml:space="preserve"> should be</w:t>
      </w:r>
      <w:r w:rsidR="006E4535" w:rsidRPr="006E4535">
        <w:t xml:space="preserve"> your closing. It should restate your thesis and summarize the key points of your paper while highlighting the importance of the ideas </w:t>
      </w:r>
      <w:r w:rsidR="00770DE9">
        <w:t xml:space="preserve">that </w:t>
      </w:r>
      <w:r w:rsidR="006E4535" w:rsidRPr="006E4535">
        <w:t>you presented.</w:t>
      </w:r>
    </w:p>
    <w:p w14:paraId="670CE316" w14:textId="417A556F" w:rsidR="008C6AA7" w:rsidRDefault="009E6743" w:rsidP="008C6AA7">
      <w:pPr>
        <w:spacing w:line="480" w:lineRule="auto"/>
        <w:ind w:firstLine="540"/>
      </w:pPr>
      <w:r w:rsidRPr="006E4535">
        <w:t xml:space="preserve">The </w:t>
      </w:r>
      <w:r w:rsidR="00770DE9">
        <w:rPr>
          <w:b/>
        </w:rPr>
        <w:t>R</w:t>
      </w:r>
      <w:r w:rsidR="00770DE9" w:rsidRPr="00AD2C67">
        <w:rPr>
          <w:b/>
        </w:rPr>
        <w:t xml:space="preserve">eferences </w:t>
      </w:r>
      <w:r w:rsidRPr="00AD2C67">
        <w:rPr>
          <w:b/>
        </w:rPr>
        <w:t>section</w:t>
      </w:r>
      <w:r w:rsidRPr="006E4535">
        <w:t xml:space="preserve"> begins on a new page.</w:t>
      </w:r>
      <w:r w:rsidR="000B0CF9" w:rsidRPr="006E4535">
        <w:t xml:space="preserve"> </w:t>
      </w:r>
      <w:r w:rsidRPr="006E4535">
        <w:t xml:space="preserve">The heading is centered on the first line </w:t>
      </w:r>
      <w:r w:rsidR="00E70438" w:rsidRPr="006E4535">
        <w:t>of the new page.</w:t>
      </w:r>
      <w:r w:rsidR="000B0CF9" w:rsidRPr="006E4535">
        <w:t xml:space="preserve"> </w:t>
      </w:r>
      <w:r w:rsidR="00CE6BC8" w:rsidRPr="006E4535">
        <w:t>It is</w:t>
      </w:r>
      <w:r w:rsidR="00185267" w:rsidRPr="006E4535">
        <w:t xml:space="preserve"> bolded but should be neither in italics n</w:t>
      </w:r>
      <w:r w:rsidR="000B0CF9" w:rsidRPr="006E4535">
        <w:t xml:space="preserve">or underlined. </w:t>
      </w:r>
      <w:r w:rsidR="00E70438" w:rsidRPr="006E4535">
        <w:t xml:space="preserve">The references, which are </w:t>
      </w:r>
      <w:r w:rsidR="00770DE9" w:rsidRPr="006E4535">
        <w:t>double</w:t>
      </w:r>
      <w:r w:rsidR="00770DE9">
        <w:t>-</w:t>
      </w:r>
      <w:r w:rsidR="00E70438" w:rsidRPr="006E4535">
        <w:t>spaced, have a hanging indent</w:t>
      </w:r>
      <w:r w:rsidR="00185267" w:rsidRPr="006E4535">
        <w:t>ion</w:t>
      </w:r>
      <w:r w:rsidR="00E70438" w:rsidRPr="006E4535">
        <w:t xml:space="preserve"> and</w:t>
      </w:r>
      <w:r w:rsidRPr="006E4535">
        <w:t xml:space="preserve"> begin on the line following the references heading.</w:t>
      </w:r>
      <w:r w:rsidR="000B0CF9" w:rsidRPr="006E4535">
        <w:t xml:space="preserve"> </w:t>
      </w:r>
      <w:r w:rsidRPr="006E4535">
        <w:t xml:space="preserve">Entries are organized alphabetically by </w:t>
      </w:r>
      <w:r w:rsidR="00E70438" w:rsidRPr="006E4535">
        <w:t>what</w:t>
      </w:r>
      <w:r w:rsidR="00444F2E" w:rsidRPr="006E4535">
        <w:t>ever comes first in the reference</w:t>
      </w:r>
      <w:r w:rsidR="00E70438" w:rsidRPr="006E4535">
        <w:t xml:space="preserve"> (author last name or first word of </w:t>
      </w:r>
      <w:r w:rsidR="008C6AA7">
        <w:t xml:space="preserve">the </w:t>
      </w:r>
      <w:r w:rsidR="00E70438" w:rsidRPr="006E4535">
        <w:t>title).</w:t>
      </w:r>
      <w:r w:rsidR="008D02DD" w:rsidRPr="006E4535">
        <w:t xml:space="preserve"> Go to the next page to see an example of a </w:t>
      </w:r>
      <w:r w:rsidR="008C6AA7">
        <w:t>R</w:t>
      </w:r>
      <w:r w:rsidR="008C6AA7" w:rsidRPr="006E4535">
        <w:t xml:space="preserve">eference </w:t>
      </w:r>
      <w:r w:rsidR="008D02DD" w:rsidRPr="006E4535">
        <w:t xml:space="preserve">page. </w:t>
      </w:r>
      <w:r w:rsidR="00273F03" w:rsidRPr="006E4535">
        <w:t xml:space="preserve">When using this template, be sure to eliminate these directions; only your own references should appear on this page. </w:t>
      </w:r>
      <w:r w:rsidR="008C6AA7">
        <w:t xml:space="preserve">If you need citation examples, you can visit the following link and type in the type of source you are citing (Web site, journal article, and so on): </w:t>
      </w:r>
      <w:hyperlink r:id="rId9" w:history="1">
        <w:r w:rsidR="008C6AA7">
          <w:rPr>
            <w:rStyle w:val="Hyperlink"/>
          </w:rPr>
          <w:t>APA Citation Example Search</w:t>
        </w:r>
      </w:hyperlink>
      <w:r w:rsidR="008C6AA7">
        <w:t xml:space="preserve">. You can also browse examples on the following Web site: </w:t>
      </w:r>
      <w:hyperlink r:id="rId10" w:history="1">
        <w:r w:rsidR="008C6AA7">
          <w:rPr>
            <w:rStyle w:val="Hyperlink"/>
          </w:rPr>
          <w:t>APA References</w:t>
        </w:r>
      </w:hyperlink>
      <w:r w:rsidR="008C6AA7">
        <w:t>.</w:t>
      </w:r>
    </w:p>
    <w:p w14:paraId="28AD1E08" w14:textId="669D8610" w:rsidR="009E6743" w:rsidRPr="006E4535" w:rsidRDefault="009E6743" w:rsidP="006E4535">
      <w:pPr>
        <w:spacing w:line="480" w:lineRule="auto"/>
        <w:ind w:firstLine="540"/>
      </w:pPr>
    </w:p>
    <w:p w14:paraId="1465DA8C" w14:textId="77777777" w:rsidR="006E4535" w:rsidRDefault="006E4535" w:rsidP="006E4535">
      <w:pPr>
        <w:spacing w:line="480" w:lineRule="auto"/>
        <w:rPr>
          <w:b/>
        </w:rPr>
      </w:pPr>
    </w:p>
    <w:p w14:paraId="227DE4D5" w14:textId="77777777" w:rsidR="00D42BF0" w:rsidRDefault="00D42BF0">
      <w:pPr>
        <w:rPr>
          <w:b/>
        </w:rPr>
      </w:pPr>
      <w:r>
        <w:rPr>
          <w:b/>
        </w:rPr>
        <w:br w:type="page"/>
      </w:r>
    </w:p>
    <w:p w14:paraId="4CA74779" w14:textId="77777777" w:rsidR="004B4F6C" w:rsidRPr="006E4535" w:rsidRDefault="004B4F6C" w:rsidP="004B4F6C">
      <w:pPr>
        <w:spacing w:line="480" w:lineRule="auto"/>
        <w:jc w:val="center"/>
        <w:rPr>
          <w:b/>
        </w:rPr>
      </w:pPr>
      <w:r w:rsidRPr="006E4535">
        <w:rPr>
          <w:b/>
        </w:rPr>
        <w:lastRenderedPageBreak/>
        <w:t>References</w:t>
      </w:r>
    </w:p>
    <w:p w14:paraId="486DD2C9" w14:textId="77777777" w:rsidR="004B4F6C" w:rsidRDefault="004B4F6C" w:rsidP="004B4F6C">
      <w:pPr>
        <w:spacing w:line="480" w:lineRule="auto"/>
        <w:ind w:left="720" w:hanging="720"/>
      </w:pPr>
      <w:r>
        <w:t>APA Style</w:t>
      </w:r>
      <w:r w:rsidRPr="006E4535">
        <w:t xml:space="preserve">. </w:t>
      </w:r>
      <w:r>
        <w:t>(</w:t>
      </w:r>
      <w:proofErr w:type="spellStart"/>
      <w:r>
        <w:t>n.d.</w:t>
      </w:r>
      <w:proofErr w:type="spellEnd"/>
      <w:r>
        <w:t xml:space="preserve">). </w:t>
      </w:r>
      <w:r w:rsidRPr="006E4535">
        <w:rPr>
          <w:i/>
        </w:rPr>
        <w:t>APA block quotation</w:t>
      </w:r>
      <w:r w:rsidRPr="006E4535">
        <w:t xml:space="preserve">. </w:t>
      </w:r>
      <w:hyperlink r:id="rId11" w:history="1">
        <w:r w:rsidRPr="00D618DB">
          <w:rPr>
            <w:rStyle w:val="Hyperlink"/>
          </w:rPr>
          <w:t>https://apastyle.apa.org/style-grammar-guidelines/citations/quotations</w:t>
        </w:r>
      </w:hyperlink>
    </w:p>
    <w:p w14:paraId="383C3D17" w14:textId="77777777" w:rsidR="004B4F6C" w:rsidRPr="00461265" w:rsidRDefault="004B4F6C" w:rsidP="004B4F6C">
      <w:pPr>
        <w:spacing w:line="480" w:lineRule="auto"/>
        <w:ind w:left="720" w:hanging="720"/>
        <w:contextualSpacing/>
        <w:rPr>
          <w:rStyle w:val="Hyperlink"/>
        </w:rPr>
      </w:pPr>
      <w:r w:rsidRPr="00461265">
        <w:t xml:space="preserve">Blakemore, E. (2019). What is colonialism? Retrieved from </w:t>
      </w:r>
      <w:hyperlink r:id="rId12" w:history="1">
        <w:r w:rsidRPr="00461265">
          <w:rPr>
            <w:rStyle w:val="Hyperlink"/>
          </w:rPr>
          <w:t>https://www.nationalgeographic.com/culture/article/colonialism</w:t>
        </w:r>
      </w:hyperlink>
    </w:p>
    <w:p w14:paraId="7A006D8C" w14:textId="77777777" w:rsidR="004B4F6C" w:rsidRDefault="004B4F6C" w:rsidP="004B4F6C">
      <w:pPr>
        <w:spacing w:line="480" w:lineRule="auto"/>
        <w:ind w:left="720" w:hanging="720"/>
        <w:contextualSpacing/>
        <w:rPr>
          <w:rStyle w:val="Hyperlink"/>
          <w:color w:val="auto"/>
        </w:rPr>
      </w:pPr>
      <w:r w:rsidRPr="00461265">
        <w:t xml:space="preserve">Brown, A., and Knapp, A. (2021). African American Heritage and Ethnography. Park Ethnography Program. Retrieved from </w:t>
      </w:r>
      <w:hyperlink r:id="rId13" w:history="1">
        <w:r w:rsidRPr="00461265">
          <w:rPr>
            <w:rStyle w:val="Hyperlink"/>
          </w:rPr>
          <w:t>https://www.nps.gov/ethnography/aah/aaheritage/histContextsA.htm</w:t>
        </w:r>
      </w:hyperlink>
    </w:p>
    <w:p w14:paraId="7B15938E" w14:textId="77777777" w:rsidR="006A340B" w:rsidRDefault="004B4F6C" w:rsidP="006A340B">
      <w:pPr>
        <w:spacing w:line="480" w:lineRule="auto"/>
        <w:ind w:left="720" w:hanging="720"/>
        <w:contextualSpacing/>
        <w:rPr>
          <w:rStyle w:val="Hyperlink"/>
        </w:rPr>
      </w:pPr>
      <w:proofErr w:type="spellStart"/>
      <w:r w:rsidRPr="00461265">
        <w:t>Eltis</w:t>
      </w:r>
      <w:proofErr w:type="spellEnd"/>
      <w:r w:rsidRPr="00461265">
        <w:t xml:space="preserve">, D., Richardson, D. (2010). Atlas of the Transatlantic Slave Trade. Trans-Atlantic Slave Trade. Retrieved from </w:t>
      </w:r>
      <w:hyperlink r:id="rId14" w:anchor="introductory-" w:history="1">
        <w:r w:rsidRPr="00461265">
          <w:rPr>
            <w:rStyle w:val="Hyperlink"/>
          </w:rPr>
          <w:t>https://slavevoyages.org/voyage/maps#introductory-</w:t>
        </w:r>
      </w:hyperlink>
    </w:p>
    <w:p w14:paraId="0F2AA5DA" w14:textId="2B753724" w:rsidR="00394FD0" w:rsidRPr="006E4535" w:rsidRDefault="004B4F6C" w:rsidP="006A340B">
      <w:pPr>
        <w:spacing w:line="480" w:lineRule="auto"/>
        <w:ind w:left="720" w:hanging="720"/>
        <w:contextualSpacing/>
      </w:pPr>
      <w:r w:rsidRPr="00135282">
        <w:rPr>
          <w:rFonts w:eastAsia="Times New Roman"/>
          <w:color w:val="333333"/>
        </w:rPr>
        <w:t xml:space="preserve">History.com. (2020). The origins of language [Video file]. Retrieved from </w:t>
      </w:r>
      <w:hyperlink r:id="rId15" w:anchor="origins-of-language" w:history="1">
        <w:r w:rsidRPr="00135282">
          <w:rPr>
            <w:rStyle w:val="Hyperlink"/>
            <w:rFonts w:eastAsia="Times New Roman"/>
          </w:rPr>
          <w:t>https://www.history.com/videos/origins-of-language#origins-of-language</w:t>
        </w:r>
      </w:hyperlink>
      <w:bookmarkStart w:id="0" w:name="_GoBack"/>
      <w:bookmarkEnd w:id="0"/>
    </w:p>
    <w:sectPr w:rsidR="00394FD0" w:rsidRPr="006E4535" w:rsidSect="00BF0C9F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BAF4F" w14:textId="77777777" w:rsidR="00165F3E" w:rsidRDefault="00165F3E" w:rsidP="008D3C0F">
      <w:pPr>
        <w:spacing w:line="240" w:lineRule="auto"/>
      </w:pPr>
      <w:r>
        <w:separator/>
      </w:r>
    </w:p>
  </w:endnote>
  <w:endnote w:type="continuationSeparator" w:id="0">
    <w:p w14:paraId="29E1C930" w14:textId="77777777" w:rsidR="00165F3E" w:rsidRDefault="00165F3E" w:rsidP="008D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AA6A" w14:textId="77777777" w:rsidR="00165F3E" w:rsidRDefault="00165F3E" w:rsidP="008D3C0F">
      <w:pPr>
        <w:spacing w:line="240" w:lineRule="auto"/>
      </w:pPr>
      <w:r>
        <w:separator/>
      </w:r>
    </w:p>
  </w:footnote>
  <w:footnote w:type="continuationSeparator" w:id="0">
    <w:p w14:paraId="6CBF5FFA" w14:textId="77777777" w:rsidR="00165F3E" w:rsidRDefault="00165F3E" w:rsidP="008D3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834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C18980" w14:textId="77007244" w:rsidR="005C335A" w:rsidRDefault="005C33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4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4ECCA1" w14:textId="77777777" w:rsidR="00444F2E" w:rsidRDefault="00444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1026" w14:textId="77777777" w:rsidR="006B65C7" w:rsidRDefault="00BF0C9F">
    <w:pPr>
      <w:pStyle w:val="Header"/>
    </w:pPr>
    <w:r>
      <w:t>RUNNING HEAD (Graduate Students Only)</w:t>
    </w:r>
    <w:r w:rsidR="003A7F93">
      <w:tab/>
    </w:r>
    <w:r w:rsidR="003A7F93"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0C5"/>
    <w:multiLevelType w:val="multilevel"/>
    <w:tmpl w:val="F09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A216A"/>
    <w:multiLevelType w:val="multilevel"/>
    <w:tmpl w:val="2E8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3317F"/>
    <w:multiLevelType w:val="multilevel"/>
    <w:tmpl w:val="42A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0F"/>
    <w:rsid w:val="000038BC"/>
    <w:rsid w:val="00004543"/>
    <w:rsid w:val="000275FC"/>
    <w:rsid w:val="000501E2"/>
    <w:rsid w:val="00081D43"/>
    <w:rsid w:val="000A6A75"/>
    <w:rsid w:val="000B0CF9"/>
    <w:rsid w:val="000B2D77"/>
    <w:rsid w:val="000D0D71"/>
    <w:rsid w:val="00141E23"/>
    <w:rsid w:val="00165F3E"/>
    <w:rsid w:val="00175560"/>
    <w:rsid w:val="00185267"/>
    <w:rsid w:val="0018540C"/>
    <w:rsid w:val="001D4BD2"/>
    <w:rsid w:val="001F1203"/>
    <w:rsid w:val="00216C2C"/>
    <w:rsid w:val="00230CE6"/>
    <w:rsid w:val="002371C7"/>
    <w:rsid w:val="00273F03"/>
    <w:rsid w:val="0029184E"/>
    <w:rsid w:val="00293108"/>
    <w:rsid w:val="002B5525"/>
    <w:rsid w:val="002D090D"/>
    <w:rsid w:val="002F581E"/>
    <w:rsid w:val="00305577"/>
    <w:rsid w:val="0033126E"/>
    <w:rsid w:val="00342E2A"/>
    <w:rsid w:val="00361492"/>
    <w:rsid w:val="00362BD8"/>
    <w:rsid w:val="00364988"/>
    <w:rsid w:val="003846D5"/>
    <w:rsid w:val="00394FD0"/>
    <w:rsid w:val="003A5974"/>
    <w:rsid w:val="003A66D4"/>
    <w:rsid w:val="003A7F93"/>
    <w:rsid w:val="003B07EB"/>
    <w:rsid w:val="004000F5"/>
    <w:rsid w:val="00430008"/>
    <w:rsid w:val="004332C8"/>
    <w:rsid w:val="0043669C"/>
    <w:rsid w:val="00444F2E"/>
    <w:rsid w:val="0045249B"/>
    <w:rsid w:val="004616FB"/>
    <w:rsid w:val="00472EF7"/>
    <w:rsid w:val="00477753"/>
    <w:rsid w:val="00477984"/>
    <w:rsid w:val="00480B5C"/>
    <w:rsid w:val="004A518B"/>
    <w:rsid w:val="004B1E81"/>
    <w:rsid w:val="004B4F6C"/>
    <w:rsid w:val="005426BC"/>
    <w:rsid w:val="005A2F62"/>
    <w:rsid w:val="005C1B2D"/>
    <w:rsid w:val="005C335A"/>
    <w:rsid w:val="005D49F2"/>
    <w:rsid w:val="005E7C15"/>
    <w:rsid w:val="005F3CAB"/>
    <w:rsid w:val="005F7ECD"/>
    <w:rsid w:val="0060212F"/>
    <w:rsid w:val="00615E5F"/>
    <w:rsid w:val="00633035"/>
    <w:rsid w:val="00646E87"/>
    <w:rsid w:val="00655748"/>
    <w:rsid w:val="00672D7B"/>
    <w:rsid w:val="0069294C"/>
    <w:rsid w:val="00692A40"/>
    <w:rsid w:val="006A340B"/>
    <w:rsid w:val="006B65C7"/>
    <w:rsid w:val="006B6A23"/>
    <w:rsid w:val="006C7070"/>
    <w:rsid w:val="006E4535"/>
    <w:rsid w:val="00726A2B"/>
    <w:rsid w:val="00741D69"/>
    <w:rsid w:val="0074378A"/>
    <w:rsid w:val="007669A8"/>
    <w:rsid w:val="00770DE9"/>
    <w:rsid w:val="00777085"/>
    <w:rsid w:val="00787B7E"/>
    <w:rsid w:val="00793FA4"/>
    <w:rsid w:val="007A2201"/>
    <w:rsid w:val="007B11AA"/>
    <w:rsid w:val="007C604E"/>
    <w:rsid w:val="007D554D"/>
    <w:rsid w:val="007E0ABC"/>
    <w:rsid w:val="007F54C7"/>
    <w:rsid w:val="00806A74"/>
    <w:rsid w:val="0087716D"/>
    <w:rsid w:val="008A0727"/>
    <w:rsid w:val="008C4A28"/>
    <w:rsid w:val="008C6AA7"/>
    <w:rsid w:val="008D02DD"/>
    <w:rsid w:val="008D3C0F"/>
    <w:rsid w:val="008E4AB0"/>
    <w:rsid w:val="008F4200"/>
    <w:rsid w:val="009012D4"/>
    <w:rsid w:val="00916EB5"/>
    <w:rsid w:val="00923369"/>
    <w:rsid w:val="00945310"/>
    <w:rsid w:val="009525AD"/>
    <w:rsid w:val="00972AAC"/>
    <w:rsid w:val="009830A9"/>
    <w:rsid w:val="009912C1"/>
    <w:rsid w:val="00991302"/>
    <w:rsid w:val="00994FC2"/>
    <w:rsid w:val="009A0E55"/>
    <w:rsid w:val="009C0B12"/>
    <w:rsid w:val="009D26A1"/>
    <w:rsid w:val="009D274A"/>
    <w:rsid w:val="009D71F6"/>
    <w:rsid w:val="009E1075"/>
    <w:rsid w:val="009E171D"/>
    <w:rsid w:val="009E5FAA"/>
    <w:rsid w:val="009E6743"/>
    <w:rsid w:val="00A01D47"/>
    <w:rsid w:val="00A317EF"/>
    <w:rsid w:val="00A34892"/>
    <w:rsid w:val="00A5238F"/>
    <w:rsid w:val="00A53DA5"/>
    <w:rsid w:val="00A8266E"/>
    <w:rsid w:val="00A9257F"/>
    <w:rsid w:val="00AD2C67"/>
    <w:rsid w:val="00B03E63"/>
    <w:rsid w:val="00B40560"/>
    <w:rsid w:val="00B52A61"/>
    <w:rsid w:val="00B621C6"/>
    <w:rsid w:val="00B701F1"/>
    <w:rsid w:val="00B879F1"/>
    <w:rsid w:val="00B97C59"/>
    <w:rsid w:val="00BE4D4A"/>
    <w:rsid w:val="00BF0C9F"/>
    <w:rsid w:val="00BF15FA"/>
    <w:rsid w:val="00C23DA0"/>
    <w:rsid w:val="00C31820"/>
    <w:rsid w:val="00C3739F"/>
    <w:rsid w:val="00C502B6"/>
    <w:rsid w:val="00C607DB"/>
    <w:rsid w:val="00C673AF"/>
    <w:rsid w:val="00C763D4"/>
    <w:rsid w:val="00C804DB"/>
    <w:rsid w:val="00C87F2E"/>
    <w:rsid w:val="00CB1F60"/>
    <w:rsid w:val="00CB4EF7"/>
    <w:rsid w:val="00CE6BC8"/>
    <w:rsid w:val="00CF41DC"/>
    <w:rsid w:val="00D0771A"/>
    <w:rsid w:val="00D11D15"/>
    <w:rsid w:val="00D316D9"/>
    <w:rsid w:val="00D42BF0"/>
    <w:rsid w:val="00D57B8C"/>
    <w:rsid w:val="00DE3EA2"/>
    <w:rsid w:val="00E06D09"/>
    <w:rsid w:val="00E50384"/>
    <w:rsid w:val="00E60345"/>
    <w:rsid w:val="00E6731D"/>
    <w:rsid w:val="00E70438"/>
    <w:rsid w:val="00E838C0"/>
    <w:rsid w:val="00E857E8"/>
    <w:rsid w:val="00EC2260"/>
    <w:rsid w:val="00EF745C"/>
    <w:rsid w:val="00F063BE"/>
    <w:rsid w:val="00F35F6F"/>
    <w:rsid w:val="00F443ED"/>
    <w:rsid w:val="00F70A13"/>
    <w:rsid w:val="00F873AF"/>
    <w:rsid w:val="00FD2570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E753D0"/>
  <w15:docId w15:val="{C7319EB4-1459-40F3-9FE6-E8A2E3E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0F"/>
  </w:style>
  <w:style w:type="paragraph" w:styleId="Footer">
    <w:name w:val="footer"/>
    <w:basedOn w:val="Normal"/>
    <w:link w:val="FooterChar"/>
    <w:uiPriority w:val="99"/>
    <w:unhideWhenUsed/>
    <w:rsid w:val="008D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0F"/>
  </w:style>
  <w:style w:type="paragraph" w:styleId="BalloonText">
    <w:name w:val="Balloon Text"/>
    <w:basedOn w:val="Normal"/>
    <w:link w:val="BalloonTextChar"/>
    <w:uiPriority w:val="99"/>
    <w:semiHidden/>
    <w:unhideWhenUsed/>
    <w:rsid w:val="008D3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4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0B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4FD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E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962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24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2789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833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84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20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2320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nps.gov/ethnography/aah/aaheritage/histContextsA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geographic.com/culture/article/colonialis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citations/quot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story.com/videos/origins-of-language" TargetMode="External"/><Relationship Id="rId10" Type="http://schemas.openxmlformats.org/officeDocument/2006/relationships/hyperlink" Target="https://owl.excelsior.edu/citation-and-documentation/apa-style/apa-referenc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reered.libguides.com/c.php?g=913122&amp;p=6741280" TargetMode="External"/><Relationship Id="rId14" Type="http://schemas.openxmlformats.org/officeDocument/2006/relationships/hyperlink" Target="https://slavevoyages.org/voyage/map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hamuk0604\Desktop\HUMA\HUMA215%202021%20Revisions\Data%20for%20Unit%203%20I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Number of Slaves Sold by Country during the 1700s </a:t>
            </a:r>
          </a:p>
        </c:rich>
      </c:tx>
      <c:layout>
        <c:manualLayout>
          <c:xMode val="edge"/>
          <c:yMode val="edge"/>
          <c:x val="0.25701359247902233"/>
          <c:y val="4.69889489656238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(2)'!$B$2</c:f>
              <c:strCache>
                <c:ptCount val="1"/>
                <c:pt idx="0">
                  <c:v>Senegambia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(2)'!$B$3:$B$6</c:f>
              <c:numCache>
                <c:formatCode>#,##0</c:formatCode>
                <c:ptCount val="4"/>
                <c:pt idx="0">
                  <c:v>40000</c:v>
                </c:pt>
                <c:pt idx="1">
                  <c:v>70000</c:v>
                </c:pt>
                <c:pt idx="2">
                  <c:v>130000</c:v>
                </c:pt>
                <c:pt idx="3">
                  <c:v>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0-4B95-AF59-A29FC7A489A1}"/>
            </c:ext>
          </c:extLst>
        </c:ser>
        <c:ser>
          <c:idx val="1"/>
          <c:order val="1"/>
          <c:tx>
            <c:strRef>
              <c:f>'Sheet1 (2)'!$C$2</c:f>
              <c:strCache>
                <c:ptCount val="1"/>
                <c:pt idx="0">
                  <c:v>Sierra Leone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(2)'!$C$3:$C$6</c:f>
              <c:numCache>
                <c:formatCode>#,##0</c:formatCode>
                <c:ptCount val="4"/>
                <c:pt idx="0">
                  <c:v>7000</c:v>
                </c:pt>
                <c:pt idx="1">
                  <c:v>11000</c:v>
                </c:pt>
                <c:pt idx="2">
                  <c:v>97000</c:v>
                </c:pt>
                <c:pt idx="3">
                  <c:v>106000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0-4B95-AF59-A29FC7A489A1}"/>
            </c:ext>
          </c:extLst>
        </c:ser>
        <c:ser>
          <c:idx val="2"/>
          <c:order val="2"/>
          <c:tx>
            <c:strRef>
              <c:f>'Sheet1 (2)'!$D$2</c:f>
              <c:strCache>
                <c:ptCount val="1"/>
                <c:pt idx="0">
                  <c:v>Gold Coast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(2)'!$D$3:$D$6</c:f>
              <c:numCache>
                <c:formatCode>#,##0</c:formatCode>
                <c:ptCount val="4"/>
                <c:pt idx="0">
                  <c:v>182000</c:v>
                </c:pt>
                <c:pt idx="1">
                  <c:v>186000</c:v>
                </c:pt>
                <c:pt idx="2">
                  <c:v>264000</c:v>
                </c:pt>
                <c:pt idx="3">
                  <c:v>241000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0-4B95-AF59-A29FC7A489A1}"/>
            </c:ext>
          </c:extLst>
        </c:ser>
        <c:ser>
          <c:idx val="3"/>
          <c:order val="3"/>
          <c:tx>
            <c:strRef>
              <c:f>'Sheet1 (2)'!$E$2</c:f>
              <c:strCache>
                <c:ptCount val="1"/>
                <c:pt idx="0">
                  <c:v>Bight of Benin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(2)'!$E$3:$E$6</c:f>
              <c:numCache>
                <c:formatCode>#,##0</c:formatCode>
                <c:ptCount val="4"/>
                <c:pt idx="0">
                  <c:v>408000</c:v>
                </c:pt>
                <c:pt idx="1">
                  <c:v>306000</c:v>
                </c:pt>
                <c:pt idx="2">
                  <c:v>251000</c:v>
                </c:pt>
                <c:pt idx="3">
                  <c:v>265000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70-4B95-AF59-A29FC7A489A1}"/>
            </c:ext>
          </c:extLst>
        </c:ser>
        <c:ser>
          <c:idx val="4"/>
          <c:order val="4"/>
          <c:tx>
            <c:strRef>
              <c:f>'Sheet1 (2)'!$F$2</c:f>
              <c:strCache>
                <c:ptCount val="1"/>
                <c:pt idx="0">
                  <c:v>Bight of Biafra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(2)'!$F$3:$F$6</c:f>
              <c:numCache>
                <c:formatCode>#,##0</c:formatCode>
                <c:ptCount val="4"/>
                <c:pt idx="0">
                  <c:v>46000</c:v>
                </c:pt>
                <c:pt idx="1">
                  <c:v>166000</c:v>
                </c:pt>
                <c:pt idx="2">
                  <c:v>340000</c:v>
                </c:pt>
                <c:pt idx="3">
                  <c:v>360000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70-4B95-AF59-A29FC7A489A1}"/>
            </c:ext>
          </c:extLst>
        </c:ser>
        <c:ser>
          <c:idx val="5"/>
          <c:order val="5"/>
          <c:tx>
            <c:strRef>
              <c:f>'Sheet1 (2)'!$G$2</c:f>
              <c:strCache>
                <c:ptCount val="1"/>
                <c:pt idx="0">
                  <c:v>West Central Africa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'Sheet1 (2)'!$A$3:$A$6</c:f>
              <c:strCache>
                <c:ptCount val="4"/>
                <c:pt idx="0">
                  <c:v>1701-1725</c:v>
                </c:pt>
                <c:pt idx="1">
                  <c:v>1726-1750</c:v>
                </c:pt>
                <c:pt idx="2">
                  <c:v>1751-1775</c:v>
                </c:pt>
                <c:pt idx="3">
                  <c:v>1776-1800</c:v>
                </c:pt>
              </c:strCache>
            </c:strRef>
          </c:cat>
          <c:val>
            <c:numRef>
              <c:f>'Sheet1 (2)'!$G$3:$G$6</c:f>
              <c:numCache>
                <c:formatCode>#,##0</c:formatCode>
                <c:ptCount val="4"/>
                <c:pt idx="0">
                  <c:v>257000</c:v>
                </c:pt>
                <c:pt idx="1">
                  <c:v>553000</c:v>
                </c:pt>
                <c:pt idx="2">
                  <c:v>715000</c:v>
                </c:pt>
                <c:pt idx="3">
                  <c:v>816000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70-4B95-AF59-A29FC7A48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5667392"/>
        <c:axId val="1035654080"/>
      </c:barChart>
      <c:catAx>
        <c:axId val="103566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35654080"/>
        <c:crosses val="autoZero"/>
        <c:auto val="1"/>
        <c:lblAlgn val="ctr"/>
        <c:lblOffset val="100"/>
        <c:noMultiLvlLbl val="0"/>
      </c:catAx>
      <c:valAx>
        <c:axId val="1035654080"/>
        <c:scaling>
          <c:orientation val="minMax"/>
          <c:max val="8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3566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F930-5A63-400A-B505-2E0DFCFC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Yousif</dc:creator>
  <cp:lastModifiedBy>Nikki Follis</cp:lastModifiedBy>
  <cp:revision>5</cp:revision>
  <dcterms:created xsi:type="dcterms:W3CDTF">2022-06-22T19:50:00Z</dcterms:created>
  <dcterms:modified xsi:type="dcterms:W3CDTF">2022-06-29T18:41:00Z</dcterms:modified>
</cp:coreProperties>
</file>